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416E" w14:textId="73C18E57" w:rsidR="00E12EB7" w:rsidRPr="00065D6E" w:rsidRDefault="00454A83" w:rsidP="00FE702D">
      <w:pPr>
        <w:pStyle w:val="NormalWeb"/>
        <w:jc w:val="center"/>
        <w:rPr>
          <w:rFonts w:ascii="Open Sans" w:hAnsi="Open Sans" w:cs="Open Sans"/>
          <w:b/>
          <w:bCs/>
          <w:color w:val="755F8F"/>
        </w:rPr>
      </w:pPr>
      <w:r>
        <w:rPr>
          <w:rFonts w:ascii="Open Sans" w:hAnsi="Open Sans" w:cs="Open Sans"/>
          <w:b/>
          <w:bCs/>
          <w:color w:val="755F8F"/>
        </w:rPr>
        <w:t>SAFEGUARDING</w:t>
      </w:r>
    </w:p>
    <w:p w14:paraId="7EFBC928" w14:textId="1DBFB85A" w:rsidR="0018235A" w:rsidRPr="00FE702D" w:rsidRDefault="0018235A" w:rsidP="003648F0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FE702D">
        <w:rPr>
          <w:rFonts w:ascii="Open Sans" w:hAnsi="Open Sans" w:cs="Open Sans"/>
          <w:sz w:val="20"/>
          <w:szCs w:val="20"/>
        </w:rPr>
        <w:t xml:space="preserve">This policy outlines the process by which all Counsellors / Counsellors in Training working with Therapy Centre Services </w:t>
      </w:r>
      <w:r w:rsidR="00454A83">
        <w:rPr>
          <w:rFonts w:ascii="Open Sans" w:hAnsi="Open Sans" w:cs="Open Sans"/>
          <w:sz w:val="20"/>
          <w:szCs w:val="20"/>
        </w:rPr>
        <w:t>need to ensure they are following to ensure they are safeguarding vulnerable adults and children.</w:t>
      </w:r>
    </w:p>
    <w:p w14:paraId="1C60FA98" w14:textId="3C400D5E" w:rsidR="0018235A" w:rsidRDefault="00454A83" w:rsidP="003648F0">
      <w:pPr>
        <w:pStyle w:val="NormalWeb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CONFIDENTIALITY</w:t>
      </w:r>
    </w:p>
    <w:p w14:paraId="004D9F8D" w14:textId="30CDDB4F" w:rsidR="00454A83" w:rsidRDefault="00454A83" w:rsidP="003648F0">
      <w:pPr>
        <w:pStyle w:val="NormalWeb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At the outset of therapy, it is the responsibility of the Counsellor / Counsellor in Training to explain to the client (and ensure that the client understands) about confidentiality which </w:t>
      </w:r>
      <w:proofErr w:type="gramStart"/>
      <w:r>
        <w:rPr>
          <w:rFonts w:ascii="Open Sans" w:hAnsi="Open Sans" w:cs="Open Sans"/>
          <w:bCs/>
          <w:sz w:val="20"/>
          <w:szCs w:val="20"/>
        </w:rPr>
        <w:t>includes;</w:t>
      </w:r>
      <w:proofErr w:type="gramEnd"/>
    </w:p>
    <w:p w14:paraId="74917DC9" w14:textId="63E1B045" w:rsidR="00454A83" w:rsidRDefault="00454A83" w:rsidP="00454A83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Understanding the extent and limitations of confidentiality</w:t>
      </w:r>
    </w:p>
    <w:p w14:paraId="643423D3" w14:textId="2D8D9591" w:rsidR="00454A83" w:rsidRDefault="00454A83" w:rsidP="00454A83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To understand the circumstances where a Counsellor / Counsellor in Training may need to breach </w:t>
      </w:r>
      <w:proofErr w:type="gramStart"/>
      <w:r>
        <w:rPr>
          <w:rFonts w:ascii="Open Sans" w:hAnsi="Open Sans" w:cs="Open Sans"/>
          <w:bCs/>
          <w:sz w:val="20"/>
          <w:szCs w:val="20"/>
        </w:rPr>
        <w:t>confidentiality</w:t>
      </w:r>
      <w:proofErr w:type="gramEnd"/>
    </w:p>
    <w:p w14:paraId="2BAFB9A3" w14:textId="561CFE49" w:rsidR="00454A83" w:rsidRDefault="003873DF" w:rsidP="00454A83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Clear contracting which the client fully understands</w:t>
      </w:r>
      <w:r w:rsidR="00177B95">
        <w:rPr>
          <w:rFonts w:ascii="Open Sans" w:hAnsi="Open Sans" w:cs="Open Sans"/>
          <w:bCs/>
          <w:sz w:val="20"/>
          <w:szCs w:val="20"/>
        </w:rPr>
        <w:t xml:space="preserve"> and agrees to.</w:t>
      </w:r>
    </w:p>
    <w:p w14:paraId="35DBE7F4" w14:textId="6DFAD9C0" w:rsidR="003873DF" w:rsidRDefault="003873DF" w:rsidP="00454A83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To know who will make, </w:t>
      </w:r>
      <w:proofErr w:type="gramStart"/>
      <w:r>
        <w:rPr>
          <w:rFonts w:ascii="Open Sans" w:hAnsi="Open Sans" w:cs="Open Sans"/>
          <w:bCs/>
          <w:sz w:val="20"/>
          <w:szCs w:val="20"/>
        </w:rPr>
        <w:t>keep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and have access to their notes and records, how they will be kept, for how long, how they will be retained and for what purposes they may be retained / destroyed.</w:t>
      </w:r>
    </w:p>
    <w:p w14:paraId="4B8094BC" w14:textId="163128EF" w:rsidR="003873DF" w:rsidRDefault="003873DF" w:rsidP="00454A83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To be informed of circumstances when the Counsellor / Counsellor in Training may have to breach their </w:t>
      </w:r>
      <w:proofErr w:type="gramStart"/>
      <w:r>
        <w:rPr>
          <w:rFonts w:ascii="Open Sans" w:hAnsi="Open Sans" w:cs="Open Sans"/>
          <w:bCs/>
          <w:sz w:val="20"/>
          <w:szCs w:val="20"/>
        </w:rPr>
        <w:t>confidentiality</w:t>
      </w:r>
      <w:proofErr w:type="gramEnd"/>
    </w:p>
    <w:p w14:paraId="76FC24B9" w14:textId="0A8BE7DC" w:rsidR="003873DF" w:rsidRDefault="003873DF" w:rsidP="00454A83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To know how, why and to whom the information will be given by the Counsellor / Counsellor in Training</w:t>
      </w:r>
    </w:p>
    <w:p w14:paraId="08D64D2B" w14:textId="63980CA5" w:rsidR="003873DF" w:rsidRPr="003873DF" w:rsidRDefault="003873DF" w:rsidP="003873DF">
      <w:pPr>
        <w:pStyle w:val="NormalWeb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Therapy Centre Services provide all Counsellors / Counsellors in Training with a </w:t>
      </w:r>
      <w:r w:rsidRPr="00177B95">
        <w:rPr>
          <w:rFonts w:ascii="Open Sans" w:hAnsi="Open Sans" w:cs="Open Sans"/>
          <w:b/>
          <w:sz w:val="20"/>
          <w:szCs w:val="20"/>
        </w:rPr>
        <w:t>Statement of Understanding</w:t>
      </w:r>
      <w:r>
        <w:rPr>
          <w:rFonts w:ascii="Open Sans" w:hAnsi="Open Sans" w:cs="Open Sans"/>
          <w:bCs/>
          <w:sz w:val="20"/>
          <w:szCs w:val="20"/>
        </w:rPr>
        <w:t xml:space="preserve"> which is our internal contracting document which must be introduced at the initial session and clearly talked </w:t>
      </w:r>
      <w:proofErr w:type="gramStart"/>
      <w:r>
        <w:rPr>
          <w:rFonts w:ascii="Open Sans" w:hAnsi="Open Sans" w:cs="Open Sans"/>
          <w:bCs/>
          <w:sz w:val="20"/>
          <w:szCs w:val="20"/>
        </w:rPr>
        <w:t>through</w:t>
      </w:r>
      <w:r w:rsidR="00177B95">
        <w:rPr>
          <w:rFonts w:ascii="Open Sans" w:hAnsi="Open Sans" w:cs="Open Sans"/>
          <w:bCs/>
          <w:sz w:val="20"/>
          <w:szCs w:val="20"/>
        </w:rPr>
        <w:t>, and</w:t>
      </w:r>
      <w:proofErr w:type="gramEnd"/>
      <w:r w:rsidR="00177B95">
        <w:rPr>
          <w:rFonts w:ascii="Open Sans" w:hAnsi="Open Sans" w:cs="Open Sans"/>
          <w:bCs/>
          <w:sz w:val="20"/>
          <w:szCs w:val="20"/>
        </w:rPr>
        <w:t xml:space="preserve"> agreed with any client</w:t>
      </w:r>
      <w:r>
        <w:rPr>
          <w:rFonts w:ascii="Open Sans" w:hAnsi="Open Sans" w:cs="Open Sans"/>
          <w:bCs/>
          <w:sz w:val="20"/>
          <w:szCs w:val="20"/>
        </w:rPr>
        <w:t xml:space="preserve"> before counselling commences.</w:t>
      </w:r>
    </w:p>
    <w:p w14:paraId="48468408" w14:textId="7F5C20CD" w:rsidR="003873DF" w:rsidRDefault="003873DF" w:rsidP="003873DF">
      <w:pPr>
        <w:pStyle w:val="NormalWeb"/>
        <w:jc w:val="both"/>
        <w:rPr>
          <w:rFonts w:ascii="Open Sans" w:hAnsi="Open Sans" w:cs="Open Sans"/>
          <w:b/>
          <w:sz w:val="20"/>
          <w:szCs w:val="20"/>
        </w:rPr>
      </w:pPr>
      <w:r w:rsidRPr="003873DF">
        <w:rPr>
          <w:rFonts w:ascii="Open Sans" w:hAnsi="Open Sans" w:cs="Open Sans"/>
          <w:b/>
          <w:sz w:val="20"/>
          <w:szCs w:val="20"/>
        </w:rPr>
        <w:t>CHILD PROTECTION</w:t>
      </w:r>
    </w:p>
    <w:p w14:paraId="0C6350BC" w14:textId="78766011" w:rsidR="003873DF" w:rsidRDefault="003873DF" w:rsidP="003873DF">
      <w:pPr>
        <w:pStyle w:val="NormalWeb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A ‘child’ is defined as a person under the age of eighteen. The Children’s Act 1989 (CA 1989) in conjunction with subsequent legislation including the Children’s Act 2004, places a statutory duty on health, </w:t>
      </w:r>
      <w:proofErr w:type="gramStart"/>
      <w:r>
        <w:rPr>
          <w:rFonts w:ascii="Open Sans" w:hAnsi="Open Sans" w:cs="Open Sans"/>
          <w:bCs/>
          <w:sz w:val="20"/>
          <w:szCs w:val="20"/>
        </w:rPr>
        <w:t>education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and other services to co-operate with local authorities in child protection. There is a statutory duty to work together, including information sharing, in conducting initial investigations of children who may be in need or subject to abuse. Further information can be found at </w:t>
      </w:r>
      <w:r>
        <w:rPr>
          <w:rFonts w:ascii="Open Sans" w:hAnsi="Open Sans" w:cs="Open Sans"/>
          <w:b/>
          <w:sz w:val="20"/>
          <w:szCs w:val="20"/>
        </w:rPr>
        <w:t>Every Child Matters.</w:t>
      </w:r>
    </w:p>
    <w:p w14:paraId="705069AE" w14:textId="481ABF34" w:rsidR="003873DF" w:rsidRDefault="003873DF" w:rsidP="003873DF">
      <w:pPr>
        <w:pStyle w:val="NormalWeb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Counsellors / Counsellors in Training working with children should have supervision with a person suitably qualified and experienced in child protection matters. If there is a concern that a child may be at risk of serious harm and the therapist does not have consent from the child or from a person with parent responsibility for the child to make a referral, then the Counsellor / Counsellor in Training will have to decide whether to make a referral anyway, without consent. Information can be found from the Local Authority, Department of Social Services or from Specialist Lawyers where required to support any decision making.</w:t>
      </w:r>
    </w:p>
    <w:p w14:paraId="4525F90B" w14:textId="67730CBB" w:rsidR="003873DF" w:rsidRPr="003873DF" w:rsidRDefault="003873DF" w:rsidP="003873DF">
      <w:pPr>
        <w:pStyle w:val="NormalWeb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Any concerns must be documented using our Safeguarding Form and discussed with your Account Manager and taken to Supervision.</w:t>
      </w:r>
    </w:p>
    <w:p w14:paraId="648FEBFC" w14:textId="43BC4118" w:rsidR="00454A83" w:rsidRDefault="003873DF" w:rsidP="003648F0">
      <w:pPr>
        <w:pStyle w:val="NormalWeb"/>
        <w:jc w:val="both"/>
        <w:rPr>
          <w:rFonts w:ascii="Open Sans" w:hAnsi="Open Sans" w:cs="Open Sans"/>
          <w:b/>
          <w:bCs/>
          <w:color w:val="3C3C3C"/>
          <w:sz w:val="20"/>
          <w:szCs w:val="20"/>
        </w:rPr>
      </w:pPr>
      <w:r w:rsidRPr="003873DF">
        <w:rPr>
          <w:rFonts w:ascii="Open Sans" w:hAnsi="Open Sans" w:cs="Open Sans"/>
          <w:b/>
          <w:bCs/>
          <w:color w:val="3C3C3C"/>
          <w:sz w:val="20"/>
          <w:szCs w:val="20"/>
        </w:rPr>
        <w:lastRenderedPageBreak/>
        <w:t>CLIENTS AT RISK OF SUICIDE OR SERIOUS SELF-HARM</w:t>
      </w:r>
    </w:p>
    <w:p w14:paraId="281A036C" w14:textId="7046E9DF" w:rsidR="003873DF" w:rsidRDefault="003873DF" w:rsidP="003648F0">
      <w:pPr>
        <w:pStyle w:val="NormalWeb"/>
        <w:jc w:val="both"/>
        <w:rPr>
          <w:rFonts w:ascii="Open Sans" w:hAnsi="Open Sans" w:cs="Open Sans"/>
          <w:color w:val="3C3C3C"/>
          <w:sz w:val="20"/>
          <w:szCs w:val="20"/>
        </w:rPr>
      </w:pPr>
      <w:r>
        <w:rPr>
          <w:rFonts w:ascii="Open Sans" w:hAnsi="Open Sans" w:cs="Open Sans"/>
          <w:color w:val="3C3C3C"/>
          <w:sz w:val="20"/>
          <w:szCs w:val="20"/>
        </w:rPr>
        <w:t>Responding appropriately to suicidal clients creates one of the most challenging situations encountered by Counsellors / Counsellors in Training.</w:t>
      </w:r>
    </w:p>
    <w:p w14:paraId="23FDDEF1" w14:textId="368DDC09" w:rsidR="003873DF" w:rsidRDefault="003873DF" w:rsidP="003648F0">
      <w:pPr>
        <w:pStyle w:val="NormalWeb"/>
        <w:jc w:val="both"/>
        <w:rPr>
          <w:rFonts w:ascii="Open Sans" w:hAnsi="Open Sans" w:cs="Open Sans"/>
          <w:color w:val="3C3C3C"/>
          <w:sz w:val="20"/>
          <w:szCs w:val="20"/>
        </w:rPr>
      </w:pPr>
      <w:r>
        <w:rPr>
          <w:rFonts w:ascii="Open Sans" w:hAnsi="Open Sans" w:cs="Open Sans"/>
          <w:color w:val="3C3C3C"/>
          <w:sz w:val="20"/>
          <w:szCs w:val="20"/>
        </w:rPr>
        <w:t>There is no general ‘duty’ to rescue in British Law, Counsellors / Counsellors in Tra</w:t>
      </w:r>
      <w:r w:rsidR="00E144AB">
        <w:rPr>
          <w:rFonts w:ascii="Open Sans" w:hAnsi="Open Sans" w:cs="Open Sans"/>
          <w:color w:val="3C3C3C"/>
          <w:sz w:val="20"/>
          <w:szCs w:val="20"/>
        </w:rPr>
        <w:t>i</w:t>
      </w:r>
      <w:r>
        <w:rPr>
          <w:rFonts w:ascii="Open Sans" w:hAnsi="Open Sans" w:cs="Open Sans"/>
          <w:color w:val="3C3C3C"/>
          <w:sz w:val="20"/>
          <w:szCs w:val="20"/>
        </w:rPr>
        <w:t>ning need to be explicit about reserving the power to breach confidentiality for a suicidal adult client. To do so without explicit agreement may constitu</w:t>
      </w:r>
      <w:r w:rsidR="00E144AB">
        <w:rPr>
          <w:rFonts w:ascii="Open Sans" w:hAnsi="Open Sans" w:cs="Open Sans"/>
          <w:color w:val="3C3C3C"/>
          <w:sz w:val="20"/>
          <w:szCs w:val="20"/>
        </w:rPr>
        <w:t>t</w:t>
      </w:r>
      <w:r>
        <w:rPr>
          <w:rFonts w:ascii="Open Sans" w:hAnsi="Open Sans" w:cs="Open Sans"/>
          <w:color w:val="3C3C3C"/>
          <w:sz w:val="20"/>
          <w:szCs w:val="20"/>
        </w:rPr>
        <w:t>e an actionable breach of confidence.</w:t>
      </w:r>
    </w:p>
    <w:p w14:paraId="7B3F1DE8" w14:textId="15DCD114" w:rsidR="00E144AB" w:rsidRDefault="00E144AB" w:rsidP="003648F0">
      <w:pPr>
        <w:pStyle w:val="NormalWeb"/>
        <w:jc w:val="both"/>
        <w:rPr>
          <w:rFonts w:ascii="Open Sans" w:hAnsi="Open Sans" w:cs="Open Sans"/>
          <w:color w:val="3C3C3C"/>
          <w:sz w:val="20"/>
          <w:szCs w:val="20"/>
        </w:rPr>
      </w:pPr>
      <w:r>
        <w:rPr>
          <w:rFonts w:ascii="Open Sans" w:hAnsi="Open Sans" w:cs="Open Sans"/>
          <w:color w:val="3C3C3C"/>
          <w:sz w:val="20"/>
          <w:szCs w:val="20"/>
        </w:rPr>
        <w:t xml:space="preserve">A Counsellor / Counsellor in Training </w:t>
      </w:r>
      <w:proofErr w:type="gramStart"/>
      <w:r>
        <w:rPr>
          <w:rFonts w:ascii="Open Sans" w:hAnsi="Open Sans" w:cs="Open Sans"/>
          <w:color w:val="3C3C3C"/>
          <w:sz w:val="20"/>
          <w:szCs w:val="20"/>
        </w:rPr>
        <w:t>who  knows</w:t>
      </w:r>
      <w:proofErr w:type="gramEnd"/>
      <w:r>
        <w:rPr>
          <w:rFonts w:ascii="Open Sans" w:hAnsi="Open Sans" w:cs="Open Sans"/>
          <w:color w:val="3C3C3C"/>
          <w:sz w:val="20"/>
          <w:szCs w:val="20"/>
        </w:rPr>
        <w:t xml:space="preserve"> that a client is likely to harm themselves or others but who will not give consent for a referral must carefully consider the ethics of going against the client’s known wishes and also the possible consequences for their client of a referral or non-referral.</w:t>
      </w:r>
    </w:p>
    <w:p w14:paraId="2441A8E4" w14:textId="7FBA94A2" w:rsidR="00E144AB" w:rsidRDefault="00E144AB" w:rsidP="003648F0">
      <w:pPr>
        <w:pStyle w:val="NormalWeb"/>
        <w:jc w:val="both"/>
        <w:rPr>
          <w:rFonts w:ascii="Open Sans" w:hAnsi="Open Sans" w:cs="Open Sans"/>
          <w:color w:val="3C3C3C"/>
          <w:sz w:val="20"/>
          <w:szCs w:val="20"/>
        </w:rPr>
      </w:pPr>
      <w:r>
        <w:rPr>
          <w:rFonts w:ascii="Open Sans" w:hAnsi="Open Sans" w:cs="Open Sans"/>
          <w:color w:val="3C3C3C"/>
          <w:sz w:val="20"/>
          <w:szCs w:val="20"/>
        </w:rPr>
        <w:t xml:space="preserve">Our policy guidance is that all of the following steps are considered and </w:t>
      </w:r>
      <w:proofErr w:type="gramStart"/>
      <w:r>
        <w:rPr>
          <w:rFonts w:ascii="Open Sans" w:hAnsi="Open Sans" w:cs="Open Sans"/>
          <w:color w:val="3C3C3C"/>
          <w:sz w:val="20"/>
          <w:szCs w:val="20"/>
        </w:rPr>
        <w:t>followed;</w:t>
      </w:r>
      <w:proofErr w:type="gramEnd"/>
    </w:p>
    <w:p w14:paraId="33E50D3A" w14:textId="42A4033B" w:rsidR="00E144AB" w:rsidRDefault="00E144AB" w:rsidP="00E144AB">
      <w:pPr>
        <w:pStyle w:val="NormalWeb"/>
        <w:jc w:val="both"/>
        <w:rPr>
          <w:rFonts w:ascii="Open Sans" w:hAnsi="Open Sans" w:cs="Open Sans"/>
          <w:color w:val="3C3C3C"/>
          <w:sz w:val="20"/>
          <w:szCs w:val="20"/>
        </w:rPr>
      </w:pPr>
      <w:r>
        <w:rPr>
          <w:rFonts w:ascii="Open Sans" w:hAnsi="Open Sans" w:cs="Open Sans"/>
          <w:color w:val="3C3C3C"/>
          <w:sz w:val="20"/>
          <w:szCs w:val="20"/>
        </w:rPr>
        <w:t xml:space="preserve">Discuss with the client if appropriate, and where possible ascertain or </w:t>
      </w:r>
      <w:proofErr w:type="gramStart"/>
      <w:r>
        <w:rPr>
          <w:rFonts w:ascii="Open Sans" w:hAnsi="Open Sans" w:cs="Open Sans"/>
          <w:color w:val="3C3C3C"/>
          <w:sz w:val="20"/>
          <w:szCs w:val="20"/>
        </w:rPr>
        <w:t>agree;</w:t>
      </w:r>
      <w:proofErr w:type="gramEnd"/>
    </w:p>
    <w:p w14:paraId="55ABD344" w14:textId="3331B979" w:rsidR="003873DF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What is the client giving me permission to do?</w:t>
      </w:r>
    </w:p>
    <w:p w14:paraId="15A528C8" w14:textId="2F3D16FB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Does the client’s permission include making a referral?</w:t>
      </w:r>
    </w:p>
    <w:p w14:paraId="58F09FE2" w14:textId="60EE43E0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Is there anything I, or anyone else can do to prevent serious harm?</w:t>
      </w:r>
    </w:p>
    <w:p w14:paraId="2FAED399" w14:textId="1B9766C3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What steps would need to be taken?</w:t>
      </w:r>
    </w:p>
    <w:p w14:paraId="1A4E0F39" w14:textId="0D91A537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How could the client be helped to accept the proposed action?</w:t>
      </w:r>
    </w:p>
    <w:p w14:paraId="277BEFB8" w14:textId="4F55FB16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It is useful at this stage to implement the </w:t>
      </w:r>
      <w:r>
        <w:rPr>
          <w:rFonts w:ascii="Open Sans" w:hAnsi="Open Sans" w:cs="Open Sans"/>
          <w:b/>
          <w:bCs/>
          <w:sz w:val="20"/>
          <w:szCs w:val="20"/>
        </w:rPr>
        <w:t>Safety Plan</w:t>
      </w:r>
      <w:r>
        <w:rPr>
          <w:rFonts w:ascii="Open Sans" w:hAnsi="Open Sans" w:cs="Open Sans"/>
          <w:sz w:val="20"/>
          <w:szCs w:val="20"/>
        </w:rPr>
        <w:t xml:space="preserve"> with your client</w:t>
      </w:r>
      <w:r w:rsidR="00177B95">
        <w:rPr>
          <w:rFonts w:ascii="Open Sans" w:hAnsi="Open Sans" w:cs="Open Sans"/>
          <w:sz w:val="20"/>
          <w:szCs w:val="20"/>
        </w:rPr>
        <w:t>.</w:t>
      </w:r>
    </w:p>
    <w:p w14:paraId="7FD7962F" w14:textId="2AE49E90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It is also important to discuss the above with your Supervisor, and to also </w:t>
      </w:r>
      <w:proofErr w:type="gramStart"/>
      <w:r>
        <w:rPr>
          <w:rFonts w:ascii="Open Sans" w:hAnsi="Open Sans" w:cs="Open Sans"/>
          <w:sz w:val="20"/>
          <w:szCs w:val="20"/>
        </w:rPr>
        <w:t>consider;</w:t>
      </w:r>
      <w:proofErr w:type="gramEnd"/>
    </w:p>
    <w:p w14:paraId="1FA3BFA0" w14:textId="308E63D1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 the likely consequences of non-referral include serious harm to the client or others</w:t>
      </w:r>
      <w:r w:rsidR="00177B95">
        <w:rPr>
          <w:rFonts w:ascii="Open Sans" w:hAnsi="Open Sans" w:cs="Open Sans"/>
          <w:sz w:val="20"/>
          <w:szCs w:val="20"/>
        </w:rPr>
        <w:t>?</w:t>
      </w:r>
    </w:p>
    <w:p w14:paraId="1863B572" w14:textId="6198272F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Does my client have the mental capacity to give explicit informed consent at this moment in time</w:t>
      </w:r>
      <w:r w:rsidR="00177B95">
        <w:rPr>
          <w:rFonts w:ascii="Open Sans" w:hAnsi="Open Sans" w:cs="Open Sans"/>
          <w:sz w:val="20"/>
          <w:szCs w:val="20"/>
        </w:rPr>
        <w:t>?</w:t>
      </w:r>
    </w:p>
    <w:p w14:paraId="080A7A61" w14:textId="7668F450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the client does not have mental capacity, then what are my professional responsibilities to the client and to the public interest</w:t>
      </w:r>
      <w:r w:rsidR="00177B95">
        <w:rPr>
          <w:rFonts w:ascii="Open Sans" w:hAnsi="Open Sans" w:cs="Open Sans"/>
          <w:sz w:val="20"/>
          <w:szCs w:val="20"/>
        </w:rPr>
        <w:t>?</w:t>
      </w:r>
    </w:p>
    <w:p w14:paraId="406E5151" w14:textId="3DCDE5E4" w:rsidR="00E144AB" w:rsidRDefault="00E144AB" w:rsidP="00E144AB">
      <w:pPr>
        <w:pStyle w:val="NormalWeb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the client does have mental capacity, but does not consent to my proposed action (</w:t>
      </w:r>
      <w:proofErr w:type="gramStart"/>
      <w:r>
        <w:rPr>
          <w:rFonts w:ascii="Open Sans" w:hAnsi="Open Sans" w:cs="Open Sans"/>
          <w:sz w:val="20"/>
          <w:szCs w:val="20"/>
        </w:rPr>
        <w:t>e.g.</w:t>
      </w:r>
      <w:proofErr w:type="gramEnd"/>
      <w:r>
        <w:rPr>
          <w:rFonts w:ascii="Open Sans" w:hAnsi="Open Sans" w:cs="Open Sans"/>
          <w:sz w:val="20"/>
          <w:szCs w:val="20"/>
        </w:rPr>
        <w:t xml:space="preserve"> referral to a GP), what is my legal situation if I go ahead and do it anyway?</w:t>
      </w:r>
    </w:p>
    <w:p w14:paraId="1EF9379E" w14:textId="25172F90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All Counsellors / Counsellors in Training have a professional responsibility that requires that they act within the area of their personal </w:t>
      </w:r>
      <w:r w:rsidR="00177B95">
        <w:rPr>
          <w:rFonts w:ascii="Open Sans" w:hAnsi="Open Sans" w:cs="Open Sans"/>
          <w:sz w:val="20"/>
          <w:szCs w:val="20"/>
        </w:rPr>
        <w:t>expertise and</w:t>
      </w:r>
      <w:r>
        <w:rPr>
          <w:rFonts w:ascii="Open Sans" w:hAnsi="Open Sans" w:cs="Open Sans"/>
          <w:sz w:val="20"/>
          <w:szCs w:val="20"/>
        </w:rPr>
        <w:t xml:space="preserve"> should consider their own limitations. The implication of this is that when they reach the limits of their expertise, consideration should be given to refer on with the client’s consent. </w:t>
      </w:r>
    </w:p>
    <w:p w14:paraId="0B1F4E23" w14:textId="4A04BADA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Counsellor / Counsellor in Training must email the Safeguarding Manager (Lucy Shepherd) to request an internal referral if this has been agreed with the client, or where the Counsellor / Counsellor in Training feels that they have reached the limits of their expertise.</w:t>
      </w:r>
    </w:p>
    <w:p w14:paraId="328126D8" w14:textId="1FBC0AA8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</w:p>
    <w:p w14:paraId="50536AC3" w14:textId="77777777" w:rsidR="00177B95" w:rsidRPr="00177B95" w:rsidRDefault="00177B95" w:rsidP="00E144AB">
      <w:pPr>
        <w:pStyle w:val="NormalWeb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177B95">
        <w:rPr>
          <w:rFonts w:ascii="Open Sans" w:hAnsi="Open Sans" w:cs="Open Sans"/>
          <w:b/>
          <w:bCs/>
          <w:sz w:val="20"/>
          <w:szCs w:val="20"/>
        </w:rPr>
        <w:lastRenderedPageBreak/>
        <w:t>THERAPY CENTRE SERVICES INTERNAL PROCESSES</w:t>
      </w:r>
    </w:p>
    <w:p w14:paraId="0BF18EE0" w14:textId="467F8550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Safeguarding Manager (Lucy Shepherd) manages the risk and safeguarding of all clients within the Counselling Service</w:t>
      </w:r>
      <w:r w:rsidR="00177B95">
        <w:rPr>
          <w:rFonts w:ascii="Open Sans" w:hAnsi="Open Sans" w:cs="Open Sans"/>
          <w:sz w:val="20"/>
          <w:szCs w:val="20"/>
        </w:rPr>
        <w:t>, with the Counsellor / Counsellor in Training.</w:t>
      </w:r>
    </w:p>
    <w:p w14:paraId="483762E0" w14:textId="2DC79931" w:rsidR="00E144AB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When a Counsellor / Counsellor in Training identifies risk, </w:t>
      </w:r>
      <w:r w:rsidR="00177B95">
        <w:rPr>
          <w:rFonts w:ascii="Open Sans" w:hAnsi="Open Sans" w:cs="Open Sans"/>
          <w:sz w:val="20"/>
          <w:szCs w:val="20"/>
        </w:rPr>
        <w:t>this is indicated on the appointment handover message, and</w:t>
      </w:r>
      <w:r>
        <w:rPr>
          <w:rFonts w:ascii="Open Sans" w:hAnsi="Open Sans" w:cs="Open Sans"/>
          <w:sz w:val="20"/>
          <w:szCs w:val="20"/>
        </w:rPr>
        <w:t xml:space="preserve"> recorded on our own internal systems and monitored.</w:t>
      </w:r>
    </w:p>
    <w:p w14:paraId="7C5B22E1" w14:textId="77777777" w:rsidR="00177B95" w:rsidRDefault="00E144AB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Where a client is indicated as a Risk Level 3 or above the Account Manager responsible for the Counsellor / Counsellor in Training will contact the Counsellor / Counsellor in Training to </w:t>
      </w:r>
      <w:r w:rsidR="00177B95">
        <w:rPr>
          <w:rFonts w:ascii="Open Sans" w:hAnsi="Open Sans" w:cs="Open Sans"/>
          <w:sz w:val="20"/>
          <w:szCs w:val="20"/>
        </w:rPr>
        <w:t>discuss the risk highlighted, and to manage their own mental wellbeing following the disclosure.</w:t>
      </w:r>
    </w:p>
    <w:p w14:paraId="7B720124" w14:textId="223BCF22" w:rsidR="00177B95" w:rsidRDefault="00177B95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Should a client be at risk of harm by others, a Safeguarding Form must be completed and emailed to the Account Manager within 24 hours of the end of the session.</w:t>
      </w:r>
    </w:p>
    <w:p w14:paraId="76F250D3" w14:textId="1554EDBA" w:rsidR="00177B95" w:rsidRPr="00E144AB" w:rsidRDefault="00177B95" w:rsidP="00E144AB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Safety Plan should be used with all clients who indicate they are at risk of self-harm, and the Account Manager informed that a Safety Plan has been put in place.</w:t>
      </w:r>
    </w:p>
    <w:sectPr w:rsidR="00177B95" w:rsidRPr="00E144AB" w:rsidSect="00A93F12">
      <w:headerReference w:type="default" r:id="rId7"/>
      <w:footerReference w:type="default" r:id="rId8"/>
      <w:pgSz w:w="11900" w:h="16840"/>
      <w:pgMar w:top="1440" w:right="1440" w:bottom="1440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FAA4" w14:textId="77777777" w:rsidR="00475E3F" w:rsidRDefault="00475E3F" w:rsidP="00F1450A">
      <w:r>
        <w:separator/>
      </w:r>
    </w:p>
  </w:endnote>
  <w:endnote w:type="continuationSeparator" w:id="0">
    <w:p w14:paraId="48D80B4F" w14:textId="77777777" w:rsidR="00475E3F" w:rsidRDefault="00475E3F" w:rsidP="00F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321E" w14:textId="03C7489B" w:rsidR="00A93F12" w:rsidRPr="00065D6E" w:rsidRDefault="00A93F12" w:rsidP="00A93F12">
    <w:pPr>
      <w:pStyle w:val="Footer"/>
      <w:tabs>
        <w:tab w:val="right" w:pos="9900"/>
      </w:tabs>
      <w:jc w:val="center"/>
      <w:rPr>
        <w:rFonts w:ascii="Open Sans" w:hAnsi="Open Sans" w:cs="Open Sans"/>
        <w:sz w:val="12"/>
        <w:szCs w:val="12"/>
      </w:rPr>
    </w:pPr>
    <w:r w:rsidRPr="00065D6E">
      <w:rPr>
        <w:rFonts w:ascii="Open Sans" w:hAnsi="Open Sans" w:cs="Open Sans"/>
        <w:sz w:val="12"/>
        <w:szCs w:val="12"/>
      </w:rPr>
      <w:t>Therapy Centre Services Ltd</w:t>
    </w:r>
  </w:p>
  <w:p w14:paraId="6DBB0946" w14:textId="65EE5888" w:rsidR="00A93F12" w:rsidRPr="00065D6E" w:rsidRDefault="00A93F12" w:rsidP="00A93F12">
    <w:pPr>
      <w:pStyle w:val="Footer"/>
      <w:jc w:val="center"/>
      <w:rPr>
        <w:rFonts w:ascii="Open Sans" w:hAnsi="Open Sans" w:cs="Open Sans"/>
      </w:rPr>
    </w:pPr>
    <w:r w:rsidRPr="00065D6E">
      <w:rPr>
        <w:rFonts w:ascii="Open Sans" w:hAnsi="Open Sans" w:cs="Open Sans"/>
        <w:sz w:val="12"/>
        <w:szCs w:val="12"/>
      </w:rPr>
      <w:t xml:space="preserve">Registration Number </w:t>
    </w:r>
    <w:r w:rsidRPr="00065D6E">
      <w:rPr>
        <w:rFonts w:ascii="Open Sans" w:hAnsi="Open Sans" w:cs="Open Sans"/>
        <w:b/>
        <w:bCs/>
        <w:color w:val="333333"/>
        <w:sz w:val="12"/>
        <w:szCs w:val="12"/>
      </w:rPr>
      <w:t>11773778</w:t>
    </w:r>
  </w:p>
  <w:p w14:paraId="1550E69D" w14:textId="77777777" w:rsidR="00F1450A" w:rsidRPr="00F1450A" w:rsidRDefault="00F1450A" w:rsidP="00F1450A">
    <w:pPr>
      <w:pStyle w:val="Footer"/>
      <w:jc w:val="center"/>
      <w:rPr>
        <w:rFonts w:ascii="Lucida Calligraphy" w:hAnsi="Lucida Calligraph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D46D3" w14:textId="77777777" w:rsidR="00475E3F" w:rsidRDefault="00475E3F" w:rsidP="00F1450A">
      <w:r>
        <w:separator/>
      </w:r>
    </w:p>
  </w:footnote>
  <w:footnote w:type="continuationSeparator" w:id="0">
    <w:p w14:paraId="55ED2259" w14:textId="77777777" w:rsidR="00475E3F" w:rsidRDefault="00475E3F" w:rsidP="00F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80BC" w14:textId="7736D1D1" w:rsidR="00F1450A" w:rsidRDefault="00FE702D" w:rsidP="00F1450A">
    <w:pPr>
      <w:pStyle w:val="Header"/>
      <w:jc w:val="right"/>
    </w:pPr>
    <w:r>
      <w:rPr>
        <w:noProof/>
      </w:rPr>
      <w:drawing>
        <wp:inline distT="0" distB="0" distL="0" distR="0" wp14:anchorId="0D1C310C" wp14:editId="4225C259">
          <wp:extent cx="1596639" cy="1039586"/>
          <wp:effectExtent l="0" t="0" r="3810" b="825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23" cy="105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DB32C" w14:textId="77777777" w:rsidR="00F1450A" w:rsidRDefault="00F1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59DB"/>
    <w:multiLevelType w:val="multilevel"/>
    <w:tmpl w:val="D44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D01DC"/>
    <w:multiLevelType w:val="multilevel"/>
    <w:tmpl w:val="2272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7A7E"/>
    <w:multiLevelType w:val="hybridMultilevel"/>
    <w:tmpl w:val="E0942BC2"/>
    <w:lvl w:ilvl="0" w:tplc="9790E572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098E"/>
    <w:multiLevelType w:val="multilevel"/>
    <w:tmpl w:val="603A0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6C8320E"/>
    <w:multiLevelType w:val="multilevel"/>
    <w:tmpl w:val="DEF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25E5E"/>
    <w:multiLevelType w:val="hybridMultilevel"/>
    <w:tmpl w:val="16DC7468"/>
    <w:lvl w:ilvl="0" w:tplc="59DCCD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086D"/>
    <w:multiLevelType w:val="multilevel"/>
    <w:tmpl w:val="B7C4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034FE"/>
    <w:multiLevelType w:val="hybridMultilevel"/>
    <w:tmpl w:val="2B34CE30"/>
    <w:lvl w:ilvl="0" w:tplc="379C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0A"/>
    <w:rsid w:val="00065D6E"/>
    <w:rsid w:val="001772B9"/>
    <w:rsid w:val="00177B95"/>
    <w:rsid w:val="0018235A"/>
    <w:rsid w:val="002B2281"/>
    <w:rsid w:val="002B284A"/>
    <w:rsid w:val="003648F0"/>
    <w:rsid w:val="003873DF"/>
    <w:rsid w:val="003D78C0"/>
    <w:rsid w:val="00434508"/>
    <w:rsid w:val="00454A83"/>
    <w:rsid w:val="00475E3F"/>
    <w:rsid w:val="004F0504"/>
    <w:rsid w:val="00512D97"/>
    <w:rsid w:val="00677327"/>
    <w:rsid w:val="008063CD"/>
    <w:rsid w:val="00876535"/>
    <w:rsid w:val="00917836"/>
    <w:rsid w:val="00A60461"/>
    <w:rsid w:val="00A93F12"/>
    <w:rsid w:val="00E12EB7"/>
    <w:rsid w:val="00E144AB"/>
    <w:rsid w:val="00E51F66"/>
    <w:rsid w:val="00F1450A"/>
    <w:rsid w:val="00F94C17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FC4EA"/>
  <w15:chartTrackingRefBased/>
  <w15:docId w15:val="{D8EAB9AC-56E3-914A-BE4C-BF67956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450A"/>
  </w:style>
  <w:style w:type="paragraph" w:styleId="Footer">
    <w:name w:val="footer"/>
    <w:basedOn w:val="Normal"/>
    <w:link w:val="FooterChar"/>
    <w:uiPriority w:val="99"/>
    <w:unhideWhenUsed/>
    <w:rsid w:val="00F145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50A"/>
  </w:style>
  <w:style w:type="paragraph" w:styleId="NormalWeb">
    <w:name w:val="Normal (Web)"/>
    <w:basedOn w:val="Normal"/>
    <w:uiPriority w:val="99"/>
    <w:unhideWhenUsed/>
    <w:rsid w:val="00E12EB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765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0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4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Shepherd</cp:lastModifiedBy>
  <cp:revision>3</cp:revision>
  <cp:lastPrinted>2019-01-28T14:19:00Z</cp:lastPrinted>
  <dcterms:created xsi:type="dcterms:W3CDTF">2021-02-08T12:13:00Z</dcterms:created>
  <dcterms:modified xsi:type="dcterms:W3CDTF">2021-02-08T12:45:00Z</dcterms:modified>
</cp:coreProperties>
</file>